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F2" w:rsidRPr="00B47AF2" w:rsidRDefault="00B47AF2" w:rsidP="00B47AF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555555"/>
          <w:sz w:val="27"/>
          <w:szCs w:val="27"/>
          <w:lang w:eastAsia="sl-SI"/>
        </w:rPr>
      </w:pPr>
      <w:r w:rsidRPr="00B47AF2">
        <w:rPr>
          <w:rFonts w:ascii="Times New Roman" w:eastAsia="Times New Roman" w:hAnsi="Times New Roman" w:cs="Times New Roman"/>
          <w:color w:val="555555"/>
          <w:sz w:val="27"/>
          <w:szCs w:val="27"/>
          <w:lang w:eastAsia="sl-SI"/>
        </w:rPr>
        <w:fldChar w:fldCharType="begin"/>
      </w:r>
      <w:r w:rsidRPr="00B47AF2">
        <w:rPr>
          <w:rFonts w:ascii="Times New Roman" w:eastAsia="Times New Roman" w:hAnsi="Times New Roman" w:cs="Times New Roman"/>
          <w:color w:val="555555"/>
          <w:sz w:val="27"/>
          <w:szCs w:val="27"/>
          <w:lang w:eastAsia="sl-SI"/>
        </w:rPr>
        <w:instrText xml:space="preserve"> HYPERLINK "https://skupnost.sio.si/course/view.php?id=10751" \l "section-0" </w:instrText>
      </w:r>
      <w:r w:rsidRPr="00B47AF2">
        <w:rPr>
          <w:rFonts w:ascii="Times New Roman" w:eastAsia="Times New Roman" w:hAnsi="Times New Roman" w:cs="Times New Roman"/>
          <w:color w:val="555555"/>
          <w:sz w:val="27"/>
          <w:szCs w:val="27"/>
          <w:lang w:eastAsia="sl-SI"/>
        </w:rPr>
        <w:fldChar w:fldCharType="separate"/>
      </w:r>
      <w:r w:rsidRPr="00B47AF2">
        <w:rPr>
          <w:rFonts w:ascii="Times New Roman" w:eastAsia="Times New Roman" w:hAnsi="Times New Roman" w:cs="Times New Roman"/>
          <w:color w:val="212529"/>
          <w:sz w:val="27"/>
          <w:szCs w:val="27"/>
          <w:u w:val="single"/>
          <w:shd w:val="clear" w:color="auto" w:fill="F8FBFD"/>
          <w:lang w:eastAsia="sl-SI"/>
        </w:rPr>
        <w:t>ERASMUS+ MEDNARODNI PROJEKT</w:t>
      </w:r>
      <w:r w:rsidRPr="00B47AF2">
        <w:rPr>
          <w:rFonts w:ascii="Times New Roman" w:eastAsia="Times New Roman" w:hAnsi="Times New Roman" w:cs="Times New Roman"/>
          <w:color w:val="555555"/>
          <w:sz w:val="27"/>
          <w:szCs w:val="27"/>
          <w:lang w:eastAsia="sl-SI"/>
        </w:rPr>
        <w:fldChar w:fldCharType="end"/>
      </w:r>
    </w:p>
    <w:p w:rsidR="00B7220A" w:rsidRPr="00B47AF2" w:rsidRDefault="00B7220A" w:rsidP="00B7220A">
      <w:pPr>
        <w:jc w:val="center"/>
        <w:rPr>
          <w:rFonts w:ascii="Calibri" w:hAnsi="Calibri" w:cs="Calibri"/>
          <w:sz w:val="28"/>
          <w:szCs w:val="28"/>
        </w:rPr>
      </w:pPr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Z razvijanjem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vKLJUČujoče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poučevalne prakse do učinkovitega učnega okolja – KLJUČ (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Developing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Adaptive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Expertise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to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Foster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an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Effective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Learning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Environment</w:t>
      </w:r>
      <w:proofErr w:type="spellEnd"/>
      <w:r w:rsidRPr="00B47AF2">
        <w:rPr>
          <w:rFonts w:ascii="Calibri" w:hAnsi="Calibri" w:cs="Calibri"/>
          <w:b/>
          <w:bCs/>
          <w:i/>
          <w:iCs/>
          <w:sz w:val="28"/>
          <w:szCs w:val="28"/>
        </w:rPr>
        <w:t>).</w:t>
      </w:r>
    </w:p>
    <w:p w:rsidR="00B7220A" w:rsidRPr="00B47AF2" w:rsidRDefault="00B7220A" w:rsidP="00B7220A">
      <w:pPr>
        <w:rPr>
          <w:rFonts w:ascii="Calibri" w:hAnsi="Calibri" w:cs="Calibri"/>
          <w:sz w:val="24"/>
          <w:szCs w:val="24"/>
        </w:rPr>
      </w:pPr>
      <w:r w:rsidRPr="00B47AF2">
        <w:rPr>
          <w:rFonts w:ascii="Calibri" w:hAnsi="Calibri" w:cs="Calibri"/>
          <w:sz w:val="24"/>
          <w:szCs w:val="24"/>
        </w:rPr>
        <w:t xml:space="preserve">V Sloveniji je v projekt vključenih šest osnovnih šol in dve srednji šoli: OŠ Gustava Šiliha Laporje, OŠ Frana Albrehta Kamnik, DOŠ Prosenjakovci, OŠ Danila Lokarja Ajdovščina, OŠ Zbora odposlancev Kočevje, OŠ Prežihovega </w:t>
      </w:r>
      <w:proofErr w:type="spellStart"/>
      <w:r w:rsidRPr="00B47AF2">
        <w:rPr>
          <w:rFonts w:ascii="Calibri" w:hAnsi="Calibri" w:cs="Calibri"/>
          <w:sz w:val="24"/>
          <w:szCs w:val="24"/>
        </w:rPr>
        <w:t>Voranca</w:t>
      </w:r>
      <w:proofErr w:type="spellEnd"/>
      <w:r w:rsidRPr="00B47AF2">
        <w:rPr>
          <w:rFonts w:ascii="Calibri" w:hAnsi="Calibri" w:cs="Calibri"/>
          <w:sz w:val="24"/>
          <w:szCs w:val="24"/>
        </w:rPr>
        <w:t xml:space="preserve"> Maribor in Ekonomska srednja šola Trbovlje.</w:t>
      </w:r>
    </w:p>
    <w:p w:rsidR="00B7220A" w:rsidRPr="00B47AF2" w:rsidRDefault="00B7220A" w:rsidP="00B7220A">
      <w:pPr>
        <w:jc w:val="center"/>
        <w:rPr>
          <w:rFonts w:ascii="Calibri" w:hAnsi="Calibri" w:cs="Calibri"/>
          <w:sz w:val="24"/>
          <w:szCs w:val="24"/>
        </w:rPr>
      </w:pPr>
      <w:r w:rsidRPr="00B47AF2">
        <w:rPr>
          <w:rFonts w:ascii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20ED966F" wp14:editId="5C0AEE4E">
            <wp:extent cx="4886325" cy="3124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0A" w:rsidRPr="00B47AF2" w:rsidRDefault="00B7220A" w:rsidP="00B7220A">
      <w:pPr>
        <w:rPr>
          <w:rFonts w:ascii="Calibri" w:hAnsi="Calibri" w:cs="Calibri"/>
          <w:sz w:val="24"/>
          <w:szCs w:val="24"/>
        </w:rPr>
      </w:pPr>
    </w:p>
    <w:p w:rsidR="00B850C1" w:rsidRPr="00B850C1" w:rsidRDefault="00B7220A" w:rsidP="00B7220A">
      <w:pPr>
        <w:rPr>
          <w:rFonts w:ascii="Calibri" w:hAnsi="Calibri" w:cs="Calibri"/>
          <w:color w:val="3B3838" w:themeColor="background2" w:themeShade="40"/>
          <w:sz w:val="24"/>
          <w:szCs w:val="24"/>
        </w:rPr>
      </w:pPr>
      <w:r w:rsidRPr="00B850C1">
        <w:rPr>
          <w:rFonts w:ascii="Calibri" w:hAnsi="Calibri" w:cs="Calibri"/>
          <w:b/>
          <w:sz w:val="24"/>
          <w:szCs w:val="24"/>
        </w:rPr>
        <w:t>Naša šola je bila povabljena k sodelovanju</w:t>
      </w:r>
      <w:r w:rsidRPr="00B47AF2">
        <w:rPr>
          <w:rFonts w:ascii="Calibri" w:hAnsi="Calibri" w:cs="Calibri"/>
          <w:sz w:val="24"/>
          <w:szCs w:val="24"/>
        </w:rPr>
        <w:t xml:space="preserve"> </w: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>zaradi dosedanjega uspešnega sodelovanja z Zavodom RS za šolstvo v različnih projektih</w:t>
      </w:r>
      <w:r w:rsidR="00B850C1"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 xml:space="preserve"> in dosedanje dobre prakse implementiranja sodobnih konceptov učenja</w: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 xml:space="preserve">. </w:t>
      </w:r>
    </w:p>
    <w:p w:rsidR="00B7220A" w:rsidRPr="00B850C1" w:rsidRDefault="00B7220A" w:rsidP="00B7220A">
      <w:pPr>
        <w:rPr>
          <w:rFonts w:ascii="Calibri" w:hAnsi="Calibri" w:cs="Calibri"/>
          <w:color w:val="3B3838" w:themeColor="background2" w:themeShade="40"/>
          <w:sz w:val="24"/>
          <w:szCs w:val="24"/>
        </w:rPr>
      </w:pPr>
      <w:r w:rsidRPr="00B850C1">
        <w:rPr>
          <w:rFonts w:ascii="Calibri" w:hAnsi="Calibri" w:cs="Calibri"/>
          <w:b/>
          <w:sz w:val="24"/>
          <w:szCs w:val="24"/>
        </w:rPr>
        <w:t>Šolski tim sestavljajo</w:t>
      </w:r>
      <w:r w:rsidRPr="00B47AF2">
        <w:rPr>
          <w:rFonts w:ascii="Calibri" w:hAnsi="Calibri" w:cs="Calibri"/>
          <w:sz w:val="24"/>
          <w:szCs w:val="24"/>
        </w:rPr>
        <w:t xml:space="preserve">: </w: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>Natalija Carmona, učiteljica zgodovine in dodatne strokovne pomoči, Jasmina Gruber, učiteljica slovenščine, Urška Gselman, učiteljica matematike, Božena Krivec, učiteljica domovinske in državljanske kulture in etike</w:t>
      </w:r>
      <w:r w:rsidR="00B47AF2"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 xml:space="preserve"> ter</w: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 xml:space="preserve"> svetovalna delavka, Jernej Regvat, </w:t>
      </w:r>
      <w:r w:rsidR="00B47AF2"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>učitelj matem</w:t>
      </w:r>
      <w:r w:rsidR="00432D35">
        <w:rPr>
          <w:rFonts w:ascii="Calibri" w:hAnsi="Calibri" w:cs="Calibri"/>
          <w:color w:val="3B3838" w:themeColor="background2" w:themeShade="40"/>
          <w:sz w:val="24"/>
          <w:szCs w:val="24"/>
        </w:rPr>
        <w:t xml:space="preserve">atike in pomočnik ravnateljice </w: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>in ravnateljica Barbara Pernarčič</w:t>
      </w:r>
      <w:r w:rsidR="00B47AF2"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t>.</w:t>
      </w:r>
    </w:p>
    <w:p w:rsidR="000C746B" w:rsidRPr="00B850C1" w:rsidRDefault="00B7220A">
      <w:pPr>
        <w:rPr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</w:pPr>
      <w:r w:rsidRPr="00B850C1">
        <w:rPr>
          <w:rFonts w:ascii="Calibri" w:hAnsi="Calibri" w:cs="Calibri"/>
          <w:b/>
          <w:sz w:val="24"/>
          <w:szCs w:val="24"/>
          <w:shd w:val="clear" w:color="auto" w:fill="FFFFFF"/>
        </w:rPr>
        <w:t>Poleg Zavoda RS za šolstvo so projektni partnerji še</w:t>
      </w:r>
      <w:r w:rsidRPr="00B47AF2">
        <w:rPr>
          <w:rFonts w:ascii="Calibri" w:hAnsi="Calibri" w:cs="Calibri"/>
          <w:sz w:val="24"/>
          <w:szCs w:val="24"/>
          <w:shd w:val="clear" w:color="auto" w:fill="FFFFFF"/>
        </w:rPr>
        <w:t>: </w:t>
      </w:r>
      <w:proofErr w:type="spellStart"/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fldChar w:fldCharType="begin"/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instrText xml:space="preserve"> HYPERLINK "https://www.katholiekonderwijs.vlaanderen/" </w:instrTex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fldChar w:fldCharType="separate"/>
      </w:r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Katholiek</w:t>
      </w:r>
      <w:proofErr w:type="spellEnd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 xml:space="preserve"> </w:t>
      </w:r>
      <w:proofErr w:type="spellStart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Onderwjis</w:t>
      </w:r>
      <w:proofErr w:type="spellEnd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 xml:space="preserve"> </w:t>
      </w:r>
      <w:proofErr w:type="spellStart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Vlaanderen</w:t>
      </w:r>
      <w:proofErr w:type="spellEnd"/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fldChar w:fldCharType="end"/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, Belgija, </w:t>
      </w:r>
      <w:proofErr w:type="spellStart"/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fldChar w:fldCharType="begin"/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instrText xml:space="preserve"> HYPERLINK "https://fontys.edu/" </w:instrText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fldChar w:fldCharType="separate"/>
      </w:r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Stichting</w:t>
      </w:r>
      <w:proofErr w:type="spellEnd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 xml:space="preserve"> </w:t>
      </w:r>
      <w:proofErr w:type="spellStart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Fontys</w:t>
      </w:r>
      <w:proofErr w:type="spellEnd"/>
      <w:r w:rsidRPr="00B850C1">
        <w:rPr>
          <w:rFonts w:ascii="Calibri" w:hAnsi="Calibri" w:cs="Calibri"/>
          <w:color w:val="3B3838" w:themeColor="background2" w:themeShade="40"/>
          <w:sz w:val="24"/>
          <w:szCs w:val="24"/>
        </w:rPr>
        <w:fldChar w:fldCharType="end"/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, Nizozemska, </w:t>
      </w:r>
      <w:hyperlink r:id="rId6" w:history="1">
        <w:r w:rsidRPr="00B850C1">
          <w:rPr>
            <w:rStyle w:val="Hiperpovezava"/>
            <w:rFonts w:ascii="Calibri" w:hAnsi="Calibri" w:cs="Calibri"/>
            <w:color w:val="3B3838" w:themeColor="background2" w:themeShade="40"/>
            <w:sz w:val="24"/>
            <w:szCs w:val="24"/>
            <w:shd w:val="clear" w:color="auto" w:fill="FFFFFF"/>
          </w:rPr>
          <w:t>UCLL,</w:t>
        </w:r>
      </w:hyperlink>
      <w:r w:rsidRPr="00B850C1">
        <w:rPr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 Belgija in </w:t>
      </w:r>
      <w:proofErr w:type="spellStart"/>
      <w:r w:rsidR="00B850C1"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fldChar w:fldCharType="begin"/>
      </w:r>
      <w:r w:rsidR="00B850C1"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instrText xml:space="preserve"> HYPERLINK "https://warnborough.edu/" </w:instrText>
      </w:r>
      <w:r w:rsidR="00B850C1"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fldChar w:fldCharType="separate"/>
      </w:r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Warnborough</w:t>
      </w:r>
      <w:proofErr w:type="spellEnd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 xml:space="preserve"> </w:t>
      </w:r>
      <w:proofErr w:type="spellStart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college</w:t>
      </w:r>
      <w:proofErr w:type="spellEnd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 xml:space="preserve"> </w:t>
      </w:r>
      <w:proofErr w:type="spellStart"/>
      <w:r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limited</w:t>
      </w:r>
      <w:proofErr w:type="spellEnd"/>
      <w:r w:rsidR="00B850C1" w:rsidRPr="00B850C1">
        <w:rPr>
          <w:rStyle w:val="Hiperpovezava"/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fldChar w:fldCharType="end"/>
      </w:r>
      <w:r w:rsidRPr="00B850C1">
        <w:rPr>
          <w:rFonts w:ascii="Calibri" w:hAnsi="Calibri" w:cs="Calibri"/>
          <w:color w:val="3B3838" w:themeColor="background2" w:themeShade="40"/>
          <w:sz w:val="24"/>
          <w:szCs w:val="24"/>
          <w:shd w:val="clear" w:color="auto" w:fill="FFFFFF"/>
        </w:rPr>
        <w:t>, Irska</w:t>
      </w:r>
      <w:r w:rsidRPr="00B850C1">
        <w:rPr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  <w:t>.</w:t>
      </w:r>
    </w:p>
    <w:p w:rsidR="00B47AF2" w:rsidRPr="00B850C1" w:rsidRDefault="00B47AF2">
      <w:pPr>
        <w:rPr>
          <w:rFonts w:ascii="Arial" w:hAnsi="Arial" w:cs="Arial"/>
          <w:color w:val="3B3838" w:themeColor="background2" w:themeShade="40"/>
          <w:sz w:val="24"/>
          <w:szCs w:val="24"/>
          <w:shd w:val="clear" w:color="auto" w:fill="FFFFFF"/>
        </w:rPr>
      </w:pPr>
    </w:p>
    <w:p w:rsidR="009B4082" w:rsidRDefault="009B4082" w:rsidP="00B47AF2">
      <w:pPr>
        <w:shd w:val="clear" w:color="auto" w:fill="FFFFFF"/>
        <w:spacing w:after="100" w:afterAutospacing="1" w:line="240" w:lineRule="auto"/>
        <w:outlineLvl w:val="1"/>
      </w:pPr>
    </w:p>
    <w:p w:rsidR="009B4082" w:rsidRDefault="009B4082" w:rsidP="00B47AF2">
      <w:pPr>
        <w:shd w:val="clear" w:color="auto" w:fill="FFFFFF"/>
        <w:spacing w:after="100" w:afterAutospacing="1" w:line="240" w:lineRule="auto"/>
        <w:outlineLvl w:val="1"/>
      </w:pPr>
    </w:p>
    <w:p w:rsidR="00B47AF2" w:rsidRPr="00B47AF2" w:rsidRDefault="00B47AF2" w:rsidP="00B47AF2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555555"/>
          <w:sz w:val="24"/>
          <w:szCs w:val="24"/>
          <w:lang w:eastAsia="sl-SI"/>
        </w:rPr>
      </w:pPr>
      <w:bookmarkStart w:id="0" w:name="_GoBack"/>
      <w:bookmarkEnd w:id="0"/>
      <w:r w:rsidRPr="00B47AF2">
        <w:rPr>
          <w:rFonts w:eastAsia="Times New Roman" w:cstheme="minorHAnsi"/>
          <w:b/>
          <w:bCs/>
          <w:color w:val="555555"/>
          <w:sz w:val="24"/>
          <w:szCs w:val="24"/>
          <w:lang w:eastAsia="sl-SI"/>
        </w:rPr>
        <w:lastRenderedPageBreak/>
        <w:t>Cilji in rezultati projekta</w:t>
      </w:r>
    </w:p>
    <w:p w:rsidR="00B47AF2" w:rsidRPr="00B47AF2" w:rsidRDefault="00B47AF2" w:rsidP="00B850C1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b/>
          <w:bCs/>
          <w:color w:val="555555"/>
          <w:sz w:val="24"/>
          <w:szCs w:val="24"/>
          <w:lang w:eastAsia="sl-SI"/>
        </w:rPr>
        <w:t>Glavni cilj projekta je razvijati </w:t>
      </w:r>
      <w:r w:rsidRPr="00B47AF2">
        <w:rPr>
          <w:rFonts w:eastAsia="Times New Roman" w:cstheme="minorHAnsi"/>
          <w:b/>
          <w:bCs/>
          <w:color w:val="555555"/>
          <w:sz w:val="24"/>
          <w:szCs w:val="24"/>
          <w:u w:val="single"/>
          <w:lang w:eastAsia="sl-SI"/>
        </w:rPr>
        <w:t>vključujočo poučevalno prakso, ki temelji na formativnem spremljanju </w:t>
      </w:r>
      <w:r w:rsidRPr="00B47AF2">
        <w:rPr>
          <w:rFonts w:eastAsia="Times New Roman" w:cstheme="minorHAnsi"/>
          <w:b/>
          <w:bCs/>
          <w:color w:val="555555"/>
          <w:sz w:val="24"/>
          <w:szCs w:val="24"/>
          <w:lang w:eastAsia="sl-SI"/>
        </w:rPr>
        <w:t>in oblikovati trajnostni model učinkovitega učnega okolja.</w:t>
      </w: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br/>
      </w:r>
    </w:p>
    <w:p w:rsidR="00B47AF2" w:rsidRPr="00B47AF2" w:rsidRDefault="00B47AF2" w:rsidP="00B47AF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Vključujoča poučevalna praksa je odziv na kompleksna učna okolja, kjer je v ospredju učenje in iskanje rešitev za izboljšanje dosežkov učencev.</w:t>
      </w:r>
    </w:p>
    <w:p w:rsidR="00B47AF2" w:rsidRPr="00B47AF2" w:rsidRDefault="00B47AF2" w:rsidP="00B47AF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Gre za celosten pristop, ki ga vodi želja po preiskovanju, radovednost, odzivnost in pripravljenost za učenje in spremembe, z namenom.</w:t>
      </w:r>
    </w:p>
    <w:p w:rsidR="00B47AF2" w:rsidRPr="00B47AF2" w:rsidRDefault="00B47AF2" w:rsidP="00B47AF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V projektu bodo nastali:</w:t>
      </w:r>
    </w:p>
    <w:p w:rsidR="00B47AF2" w:rsidRPr="00B47AF2" w:rsidRDefault="00B47AF2" w:rsidP="00B47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Vodnik za vključujočo poučevalno prakso (</w:t>
      </w:r>
      <w:proofErr w:type="spellStart"/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adaptive</w:t>
      </w:r>
      <w:proofErr w:type="spellEnd"/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 xml:space="preserve"> </w:t>
      </w:r>
      <w:proofErr w:type="spellStart"/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expertise</w:t>
      </w:r>
      <w:proofErr w:type="spellEnd"/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),</w:t>
      </w:r>
    </w:p>
    <w:p w:rsidR="00B47AF2" w:rsidRPr="00B47AF2" w:rsidRDefault="00B47AF2" w:rsidP="00B47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Gradniki  za preiskovanje in razvijanje vključujoče poučevalne prakse skozi formativno spremljanje,</w:t>
      </w:r>
    </w:p>
    <w:p w:rsidR="00B47AF2" w:rsidRPr="00B47AF2" w:rsidRDefault="00B47AF2" w:rsidP="00B47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Gradniki za podporo pri vpeljevanju vključujoče poučevalne prakse,</w:t>
      </w:r>
    </w:p>
    <w:p w:rsidR="00B47AF2" w:rsidRPr="00B47AF2" w:rsidRDefault="00B47AF2" w:rsidP="00B47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Zbirka primerov vključujoče poučevalne prakse,  </w:t>
      </w:r>
    </w:p>
    <w:p w:rsidR="00B47AF2" w:rsidRPr="00B47AF2" w:rsidRDefault="00B47AF2" w:rsidP="00B47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B47AF2">
        <w:rPr>
          <w:rFonts w:eastAsia="Times New Roman" w:cstheme="minorHAnsi"/>
          <w:color w:val="555555"/>
          <w:sz w:val="24"/>
          <w:szCs w:val="24"/>
          <w:lang w:eastAsia="sl-SI"/>
        </w:rPr>
        <w:t>Spletno učno okolje za podporo pri preiskovanju in spodbujanju, vpeljevanja vključujoče poučevalne prakse.</w:t>
      </w:r>
    </w:p>
    <w:p w:rsidR="00B47AF2" w:rsidRDefault="00B850C1" w:rsidP="00B47AF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6BB61EEF">
            <wp:extent cx="5761355" cy="32492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0C1" w:rsidRDefault="00B850C1" w:rsidP="00B47AF2">
      <w:pPr>
        <w:rPr>
          <w:rFonts w:cstheme="minorHAnsi"/>
          <w:sz w:val="24"/>
          <w:szCs w:val="24"/>
        </w:rPr>
      </w:pPr>
    </w:p>
    <w:p w:rsidR="00B850C1" w:rsidRPr="00B47AF2" w:rsidRDefault="00B850C1" w:rsidP="00B850C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Ravnateljica Barbara Pernarčič</w:t>
      </w:r>
    </w:p>
    <w:sectPr w:rsidR="00B850C1" w:rsidRPr="00B4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2E6F"/>
    <w:multiLevelType w:val="multilevel"/>
    <w:tmpl w:val="404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B"/>
    <w:rsid w:val="000C746B"/>
    <w:rsid w:val="00432D35"/>
    <w:rsid w:val="009B4082"/>
    <w:rsid w:val="00A26707"/>
    <w:rsid w:val="00B47AF2"/>
    <w:rsid w:val="00B7220A"/>
    <w:rsid w:val="00B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8DAE"/>
  <w15:chartTrackingRefBased/>
  <w15:docId w15:val="{63E71EE9-9869-4316-AD6B-970C51BC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72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ll.b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4</cp:revision>
  <dcterms:created xsi:type="dcterms:W3CDTF">2021-06-02T10:16:00Z</dcterms:created>
  <dcterms:modified xsi:type="dcterms:W3CDTF">2021-06-07T08:56:00Z</dcterms:modified>
</cp:coreProperties>
</file>